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CA86" w14:textId="0239A001" w:rsidR="007B1D91" w:rsidRPr="00794502" w:rsidRDefault="007B1D91" w:rsidP="007B1D91">
      <w:pPr>
        <w:rPr>
          <w:rFonts w:ascii="Cambria" w:hAnsi="Cambria" w:cstheme="minorBidi"/>
          <w:b/>
          <w:color w:val="000000" w:themeColor="text1"/>
        </w:rPr>
      </w:pPr>
      <w:r w:rsidRPr="00794502">
        <w:rPr>
          <w:rFonts w:ascii="Cambria" w:hAnsi="Cambria" w:cstheme="minorBidi"/>
          <w:b/>
          <w:color w:val="000000" w:themeColor="text1"/>
        </w:rPr>
        <w:t>Progetto</w:t>
      </w:r>
      <w:r w:rsidR="00883D80">
        <w:rPr>
          <w:rFonts w:ascii="Cambria" w:hAnsi="Cambria" w:cstheme="minorBidi"/>
          <w:b/>
          <w:color w:val="000000" w:themeColor="text1"/>
        </w:rPr>
        <w:t xml:space="preserve"> </w:t>
      </w:r>
      <w:r w:rsidR="007D5689">
        <w:rPr>
          <w:rFonts w:ascii="Cambria" w:hAnsi="Cambria" w:cstheme="minorBidi"/>
          <w:b/>
          <w:color w:val="000000" w:themeColor="text1"/>
        </w:rPr>
        <w:t>–</w:t>
      </w:r>
      <w:r w:rsidR="00883D80">
        <w:rPr>
          <w:rFonts w:ascii="Cambria" w:hAnsi="Cambria" w:cstheme="minorBidi"/>
          <w:b/>
          <w:color w:val="000000" w:themeColor="text1"/>
        </w:rPr>
        <w:t xml:space="preserve"> </w:t>
      </w:r>
      <w:proofErr w:type="spellStart"/>
      <w:r w:rsidR="007D5689">
        <w:rPr>
          <w:rFonts w:ascii="Cambria" w:hAnsi="Cambria" w:cstheme="minorBidi"/>
          <w:b/>
          <w:color w:val="000000" w:themeColor="text1"/>
        </w:rPr>
        <w:t>immunofenotipizzazione</w:t>
      </w:r>
      <w:proofErr w:type="spellEnd"/>
      <w:r w:rsidR="007D5689">
        <w:rPr>
          <w:rFonts w:ascii="Cambria" w:hAnsi="Cambria" w:cstheme="minorBidi"/>
          <w:b/>
          <w:color w:val="000000" w:themeColor="text1"/>
        </w:rPr>
        <w:t xml:space="preserve"> della sepsi negli animali da compagnia</w:t>
      </w:r>
    </w:p>
    <w:p w14:paraId="64B6274E" w14:textId="77777777" w:rsidR="007B1D91" w:rsidRPr="00046A0C" w:rsidRDefault="007B1D91" w:rsidP="007B1D91">
      <w:pPr>
        <w:rPr>
          <w:rFonts w:ascii="Cambria" w:hAnsi="Cambria"/>
          <w:b/>
          <w:bCs/>
        </w:rPr>
      </w:pPr>
    </w:p>
    <w:p w14:paraId="3B0ED71E" w14:textId="77777777" w:rsidR="007B1D91" w:rsidRDefault="007B1D91" w:rsidP="007B1D91">
      <w:pPr>
        <w:jc w:val="both"/>
        <w:rPr>
          <w:rFonts w:ascii="Cambria" w:hAnsi="Cambria"/>
        </w:rPr>
      </w:pPr>
      <w:r w:rsidRPr="00046A0C">
        <w:rPr>
          <w:rFonts w:ascii="Cambria" w:hAnsi="Cambria"/>
        </w:rPr>
        <w:t>La sepsi è una sindrome caratterizzata da una risposta sregolata dell’ospite ad un’infezione associata a disfunzione d’organo che mette a rischio la vita del paziente. Nonostante il riconoscimento precoce ed un trattamento appropriato contribuiscano a migliorarne la prognosi, la sepsi rappresenta una delle principali cause di morte tra i pazienti non cardiaci umani ricoverati in terapia intensiva. In medicina veterinaria non esistono stime accurate sulla prevalenza della sepsi nel cane, ma i tassi di mortalità riportati in letteratura sono compresi tra il 20% e il 68%. Il punto chiave nella complicata gestione della sepsi deriva dalla presentazione clinica eterogenea, influenzata non solo dal tipo di infezione, ma anche dalla immunocompetenza e dalla natura dinamica della risposta immunitaria dell’ospite. Nella patogenesi della sepsi risulta infatti centrale la complessa interazione tra il sistema immunitario e il microorganismo patogeno. In corso di sepsi, questa risposta è spesso sbilanciata, portando a eccessiva infiammazione e danno tissutale. Tra le tipologie cellulari implicat</w:t>
      </w:r>
      <w:r>
        <w:rPr>
          <w:rFonts w:ascii="Cambria" w:hAnsi="Cambria"/>
        </w:rPr>
        <w:t>e</w:t>
      </w:r>
      <w:r w:rsidRPr="00046A0C">
        <w:rPr>
          <w:rFonts w:ascii="Cambria" w:hAnsi="Cambria"/>
        </w:rPr>
        <w:t xml:space="preserve"> nello sviluppo di una risposta infiammatoria sbilanciata, i neutrofili svolgono un ruolo primario e contribuiscono allo stato di “</w:t>
      </w:r>
      <w:proofErr w:type="spellStart"/>
      <w:r w:rsidRPr="00046A0C">
        <w:rPr>
          <w:rFonts w:ascii="Cambria" w:hAnsi="Cambria"/>
        </w:rPr>
        <w:t>iperinfiammazione</w:t>
      </w:r>
      <w:proofErr w:type="spellEnd"/>
      <w:r w:rsidRPr="00046A0C">
        <w:rPr>
          <w:rFonts w:ascii="Cambria" w:hAnsi="Cambria"/>
        </w:rPr>
        <w:t xml:space="preserve">” attraverso il rilascio di proteasi, specie reattive dell’ossigeno, e i cosiddetti </w:t>
      </w:r>
      <w:proofErr w:type="spellStart"/>
      <w:r w:rsidRPr="00046A0C">
        <w:rPr>
          <w:rFonts w:ascii="Cambria" w:hAnsi="Cambria"/>
          <w:i/>
        </w:rPr>
        <w:t>neutrophil</w:t>
      </w:r>
      <w:proofErr w:type="spellEnd"/>
      <w:r w:rsidRPr="00046A0C">
        <w:rPr>
          <w:rFonts w:ascii="Cambria" w:hAnsi="Cambria"/>
          <w:i/>
        </w:rPr>
        <w:t xml:space="preserve"> </w:t>
      </w:r>
      <w:proofErr w:type="spellStart"/>
      <w:r w:rsidRPr="00046A0C">
        <w:rPr>
          <w:rFonts w:ascii="Cambria" w:hAnsi="Cambria"/>
          <w:i/>
        </w:rPr>
        <w:t>extracellular</w:t>
      </w:r>
      <w:proofErr w:type="spellEnd"/>
      <w:r w:rsidRPr="00046A0C">
        <w:rPr>
          <w:rFonts w:ascii="Cambria" w:hAnsi="Cambria"/>
          <w:i/>
        </w:rPr>
        <w:t xml:space="preserve"> </w:t>
      </w:r>
      <w:proofErr w:type="spellStart"/>
      <w:r w:rsidRPr="00046A0C">
        <w:rPr>
          <w:rFonts w:ascii="Cambria" w:hAnsi="Cambria"/>
          <w:i/>
        </w:rPr>
        <w:t>traps</w:t>
      </w:r>
      <w:proofErr w:type="spellEnd"/>
      <w:r w:rsidRPr="00046A0C">
        <w:rPr>
          <w:rFonts w:ascii="Cambria" w:hAnsi="Cambria"/>
        </w:rPr>
        <w:t xml:space="preserve"> (</w:t>
      </w:r>
      <w:proofErr w:type="spellStart"/>
      <w:r w:rsidRPr="00046A0C">
        <w:rPr>
          <w:rFonts w:ascii="Cambria" w:hAnsi="Cambria"/>
        </w:rPr>
        <w:t>NETs</w:t>
      </w:r>
      <w:proofErr w:type="spellEnd"/>
      <w:r w:rsidRPr="00046A0C">
        <w:rPr>
          <w:rFonts w:ascii="Cambria" w:hAnsi="Cambria"/>
        </w:rPr>
        <w:t xml:space="preserve">). I </w:t>
      </w:r>
      <w:proofErr w:type="spellStart"/>
      <w:r w:rsidRPr="00046A0C">
        <w:rPr>
          <w:rFonts w:ascii="Cambria" w:hAnsi="Cambria"/>
        </w:rPr>
        <w:t>NETs</w:t>
      </w:r>
      <w:proofErr w:type="spellEnd"/>
      <w:r w:rsidRPr="00046A0C">
        <w:rPr>
          <w:rFonts w:ascii="Cambria" w:hAnsi="Cambria"/>
        </w:rPr>
        <w:t xml:space="preserve"> si compongono di filamenti di cromatina, la maggior parte dei quali sono organizzati in nucleosomi attraverso il supporto di proteine istoniche o istoni; in aggiunta, si trovano all’interno di queste maglie, DNA extracellulare (</w:t>
      </w:r>
      <w:proofErr w:type="spellStart"/>
      <w:r w:rsidRPr="00046A0C">
        <w:rPr>
          <w:rFonts w:ascii="Cambria" w:hAnsi="Cambria"/>
        </w:rPr>
        <w:t>cell</w:t>
      </w:r>
      <w:proofErr w:type="spellEnd"/>
      <w:r w:rsidRPr="00046A0C">
        <w:rPr>
          <w:rFonts w:ascii="Cambria" w:hAnsi="Cambria"/>
        </w:rPr>
        <w:t xml:space="preserve">-free DNA o </w:t>
      </w:r>
      <w:proofErr w:type="spellStart"/>
      <w:r w:rsidRPr="00046A0C">
        <w:rPr>
          <w:rFonts w:ascii="Cambria" w:hAnsi="Cambria"/>
        </w:rPr>
        <w:t>cfDNA</w:t>
      </w:r>
      <w:proofErr w:type="spellEnd"/>
      <w:r w:rsidRPr="00046A0C">
        <w:rPr>
          <w:rFonts w:ascii="Cambria" w:hAnsi="Cambria"/>
        </w:rPr>
        <w:t xml:space="preserve">), le proteine dei granuli dei neutrofili stessi, come la </w:t>
      </w:r>
      <w:proofErr w:type="spellStart"/>
      <w:r w:rsidRPr="00046A0C">
        <w:rPr>
          <w:rFonts w:ascii="Cambria" w:hAnsi="Cambria"/>
        </w:rPr>
        <w:t>mieloperossidasi</w:t>
      </w:r>
      <w:proofErr w:type="spellEnd"/>
      <w:r>
        <w:rPr>
          <w:rFonts w:ascii="Cambria" w:hAnsi="Cambria"/>
        </w:rPr>
        <w:t xml:space="preserve"> e</w:t>
      </w:r>
      <w:r w:rsidRPr="00046A0C">
        <w:rPr>
          <w:rFonts w:ascii="Cambria" w:hAnsi="Cambria"/>
        </w:rPr>
        <w:t xml:space="preserve"> l’elastasi </w:t>
      </w:r>
      <w:proofErr w:type="spellStart"/>
      <w:r w:rsidRPr="00046A0C">
        <w:rPr>
          <w:rFonts w:ascii="Cambria" w:hAnsi="Cambria"/>
        </w:rPr>
        <w:t>neutrofilica</w:t>
      </w:r>
      <w:proofErr w:type="spellEnd"/>
      <w:r w:rsidRPr="00046A0C">
        <w:rPr>
          <w:rFonts w:ascii="Cambria" w:hAnsi="Cambria"/>
        </w:rPr>
        <w:t xml:space="preserve">. I </w:t>
      </w:r>
      <w:proofErr w:type="spellStart"/>
      <w:r w:rsidRPr="00046A0C">
        <w:rPr>
          <w:rFonts w:ascii="Cambria" w:hAnsi="Cambria"/>
        </w:rPr>
        <w:t>NETs</w:t>
      </w:r>
      <w:proofErr w:type="spellEnd"/>
      <w:r w:rsidRPr="00046A0C">
        <w:rPr>
          <w:rFonts w:ascii="Cambria" w:hAnsi="Cambria"/>
        </w:rPr>
        <w:t xml:space="preserve"> contribuiscono ai meccanismi di difesa antibatterica mediante intrappolamento e successiva eliminazione dei batteri. Tuttavia, come molti componenti dell’immunità innata, i NET agiscono come arma a doppio taglio nelle infezioni. Una </w:t>
      </w:r>
      <w:proofErr w:type="spellStart"/>
      <w:r w:rsidRPr="00046A0C">
        <w:rPr>
          <w:rFonts w:ascii="Cambria" w:hAnsi="Cambria"/>
        </w:rPr>
        <w:t>NETosi</w:t>
      </w:r>
      <w:proofErr w:type="spellEnd"/>
      <w:r w:rsidRPr="00046A0C">
        <w:rPr>
          <w:rFonts w:ascii="Cambria" w:hAnsi="Cambria"/>
        </w:rPr>
        <w:t xml:space="preserve"> eccessiva durante la sepsi può essere controproducente, favorendo una condizione di </w:t>
      </w:r>
      <w:proofErr w:type="spellStart"/>
      <w:r w:rsidRPr="00046A0C">
        <w:rPr>
          <w:rFonts w:ascii="Cambria" w:hAnsi="Cambria"/>
        </w:rPr>
        <w:t>immunotrombosi</w:t>
      </w:r>
      <w:proofErr w:type="spellEnd"/>
      <w:r w:rsidRPr="00046A0C">
        <w:rPr>
          <w:rFonts w:ascii="Cambria" w:hAnsi="Cambria"/>
        </w:rPr>
        <w:t xml:space="preserve"> che esita in insufficienza </w:t>
      </w:r>
      <w:proofErr w:type="spellStart"/>
      <w:r w:rsidRPr="00046A0C">
        <w:rPr>
          <w:rFonts w:ascii="Cambria" w:hAnsi="Cambria"/>
        </w:rPr>
        <w:t>multiorganica</w:t>
      </w:r>
      <w:proofErr w:type="spellEnd"/>
      <w:r w:rsidRPr="00046A0C">
        <w:rPr>
          <w:rFonts w:ascii="Cambria" w:hAnsi="Cambria"/>
        </w:rPr>
        <w:t xml:space="preserve">. La valutazione di biomarker di </w:t>
      </w:r>
      <w:proofErr w:type="spellStart"/>
      <w:proofErr w:type="gramStart"/>
      <w:r w:rsidRPr="00046A0C">
        <w:rPr>
          <w:rFonts w:ascii="Cambria" w:hAnsi="Cambria"/>
        </w:rPr>
        <w:t>NETosi</w:t>
      </w:r>
      <w:proofErr w:type="spellEnd"/>
      <w:r w:rsidRPr="00046A0C">
        <w:rPr>
          <w:rFonts w:ascii="Cambria" w:hAnsi="Cambria"/>
        </w:rPr>
        <w:t xml:space="preserve">  nell’inquadramento</w:t>
      </w:r>
      <w:proofErr w:type="gramEnd"/>
      <w:r w:rsidRPr="00046A0C">
        <w:rPr>
          <w:rFonts w:ascii="Cambria" w:hAnsi="Cambria"/>
        </w:rPr>
        <w:t xml:space="preserve"> del paziente settico è supportata da numerosi studi in modelli animali e nell’uomo. Una possibile applicazione di biomarker di </w:t>
      </w:r>
      <w:proofErr w:type="spellStart"/>
      <w:r w:rsidRPr="00046A0C">
        <w:rPr>
          <w:rFonts w:ascii="Cambria" w:hAnsi="Cambria"/>
        </w:rPr>
        <w:t>NETosi</w:t>
      </w:r>
      <w:proofErr w:type="spellEnd"/>
      <w:r w:rsidRPr="00046A0C">
        <w:rPr>
          <w:rFonts w:ascii="Cambria" w:hAnsi="Cambria"/>
        </w:rPr>
        <w:t xml:space="preserve"> in corso di sepsi è documentata anche nel cane da alcuni studi che hanno registrato un significativo incremento della concentrazione plasmatica di </w:t>
      </w:r>
      <w:proofErr w:type="spellStart"/>
      <w:r w:rsidRPr="00046A0C">
        <w:rPr>
          <w:rFonts w:ascii="Cambria" w:hAnsi="Cambria"/>
        </w:rPr>
        <w:t>cfDNA</w:t>
      </w:r>
      <w:proofErr w:type="spellEnd"/>
      <w:r w:rsidRPr="00046A0C">
        <w:rPr>
          <w:rFonts w:ascii="Cambria" w:hAnsi="Cambria"/>
        </w:rPr>
        <w:t xml:space="preserve"> e di nucleosomi associato a</w:t>
      </w:r>
      <w:r>
        <w:rPr>
          <w:rFonts w:ascii="Cambria" w:hAnsi="Cambria"/>
        </w:rPr>
        <w:t>d un loro</w:t>
      </w:r>
      <w:r w:rsidRPr="00046A0C">
        <w:rPr>
          <w:rFonts w:ascii="Cambria" w:hAnsi="Cambria"/>
        </w:rPr>
        <w:t xml:space="preserve"> valore predittivo in termini di sopravvivenza. Nell’ambito di un approccio personalizzato al trattamento del paziente settico, sarebbe importante valutare il bilancio tra un intervento volto a mitigare l’eccessiva risposta infiammatoria e un trattamento volto a stimolare il sistema immunitario in corso di immunodepressione. La variazione di questo equilibrio è cruciale nelle diverse fasi della sepsi ed è influenzato da altre variabili oltre l’infezione come età, competenza immunitaria e comorbilità. L’</w:t>
      </w:r>
      <w:proofErr w:type="spellStart"/>
      <w:r w:rsidRPr="00046A0C">
        <w:rPr>
          <w:rFonts w:ascii="Cambria" w:hAnsi="Cambria"/>
        </w:rPr>
        <w:t>immunofenotipizzazione</w:t>
      </w:r>
      <w:proofErr w:type="spellEnd"/>
      <w:r w:rsidRPr="00046A0C">
        <w:rPr>
          <w:rFonts w:ascii="Cambria" w:hAnsi="Cambria"/>
        </w:rPr>
        <w:t xml:space="preserve"> del paziente è pertanto cruciale nello sviluppo di un approccio terapeutico su misura, considerando sia la fase della malattia che i fattori individuali del paziente. La </w:t>
      </w:r>
      <w:proofErr w:type="spellStart"/>
      <w:r w:rsidRPr="00046A0C">
        <w:rPr>
          <w:rFonts w:ascii="Cambria" w:hAnsi="Cambria"/>
        </w:rPr>
        <w:t>citometria</w:t>
      </w:r>
      <w:proofErr w:type="spellEnd"/>
      <w:r w:rsidRPr="00046A0C">
        <w:rPr>
          <w:rFonts w:ascii="Cambria" w:hAnsi="Cambria"/>
        </w:rPr>
        <w:t xml:space="preserve"> a flusso, essendo in grado di rilevare e monitorare più marcatori a livello cellulare, è una tecnica efficace per valutare l'eterogeneità cellulare e ottenere un’</w:t>
      </w:r>
      <w:proofErr w:type="spellStart"/>
      <w:r w:rsidRPr="00046A0C">
        <w:rPr>
          <w:rFonts w:ascii="Cambria" w:hAnsi="Cambria"/>
        </w:rPr>
        <w:t>immunofenotipizzazione</w:t>
      </w:r>
      <w:proofErr w:type="spellEnd"/>
      <w:r w:rsidRPr="00046A0C">
        <w:rPr>
          <w:rFonts w:ascii="Cambria" w:hAnsi="Cambria"/>
        </w:rPr>
        <w:t xml:space="preserve"> del paziente con la finalità di comprendere il ruolo delle cellule immunitarie innate e adattative in corso di sepsi. La letteratura veterinaria inerente alla valutazione della risposta immunitaria nel cane in condizioni critiche è limitata ad alcuni studi su popolazioni eterogenee di cani ricoverati in terapia intensiva, </w:t>
      </w:r>
      <w:proofErr w:type="spellStart"/>
      <w:r w:rsidRPr="00046A0C">
        <w:rPr>
          <w:rFonts w:ascii="Cambria" w:hAnsi="Cambria"/>
        </w:rPr>
        <w:t>parvovirosi</w:t>
      </w:r>
      <w:proofErr w:type="spellEnd"/>
      <w:r w:rsidRPr="00046A0C">
        <w:rPr>
          <w:rFonts w:ascii="Cambria" w:hAnsi="Cambria"/>
        </w:rPr>
        <w:t xml:space="preserve"> canina e sepsi, i cui risultati sono preliminari, ma supportano un ulteriore approfondimento in questo campo. In questo contesto, un ruolo importante è svolto dal microbioma intestinale</w:t>
      </w:r>
      <w:r>
        <w:rPr>
          <w:rFonts w:ascii="Cambria" w:hAnsi="Cambria"/>
        </w:rPr>
        <w:t xml:space="preserve"> che garantisce</w:t>
      </w:r>
      <w:r w:rsidRPr="00046A0C">
        <w:rPr>
          <w:rFonts w:ascii="Cambria" w:hAnsi="Cambria"/>
        </w:rPr>
        <w:t xml:space="preserve"> l’omeostasi e la difesa dell’ospite contro l’invasione di agenti patogeni. Numerosi studi osservazionali </w:t>
      </w:r>
      <w:r>
        <w:rPr>
          <w:rFonts w:ascii="Cambria" w:hAnsi="Cambria"/>
        </w:rPr>
        <w:t xml:space="preserve">hanno mostrato </w:t>
      </w:r>
      <w:proofErr w:type="spellStart"/>
      <w:r>
        <w:rPr>
          <w:rFonts w:ascii="Cambria" w:hAnsi="Cambria"/>
        </w:rPr>
        <w:t>disbiosi</w:t>
      </w:r>
      <w:proofErr w:type="spellEnd"/>
      <w:r>
        <w:rPr>
          <w:rFonts w:ascii="Cambria" w:hAnsi="Cambria"/>
        </w:rPr>
        <w:t xml:space="preserve"> intestinale come causa o effetto de</w:t>
      </w:r>
      <w:r w:rsidRPr="00046A0C">
        <w:rPr>
          <w:rFonts w:ascii="Cambria" w:hAnsi="Cambria"/>
        </w:rPr>
        <w:t>lla sepsi, a</w:t>
      </w:r>
      <w:r>
        <w:rPr>
          <w:rFonts w:ascii="Cambria" w:hAnsi="Cambria"/>
        </w:rPr>
        <w:t>ssociata ad aumentata</w:t>
      </w:r>
      <w:r w:rsidRPr="00046A0C">
        <w:rPr>
          <w:rFonts w:ascii="Cambria" w:hAnsi="Cambria"/>
        </w:rPr>
        <w:t xml:space="preserve"> permeabilità della barriera intestinale e traslocazione dei patogeni verso organi distanti con conseguente diminuzione dell’efficacia della difesa dell’ospite contro l'infezione. Il microbioma intestinale del paziente settico è caratterizzato da una diminuzione della diversità, una minore abbondanza relativa di </w:t>
      </w:r>
      <w:proofErr w:type="spellStart"/>
      <w:r w:rsidRPr="00046A0C">
        <w:rPr>
          <w:rFonts w:ascii="Cambria" w:hAnsi="Cambria"/>
          <w:i/>
          <w:iCs/>
        </w:rPr>
        <w:lastRenderedPageBreak/>
        <w:t>Firmicutes</w:t>
      </w:r>
      <w:proofErr w:type="spellEnd"/>
      <w:r w:rsidRPr="00046A0C">
        <w:rPr>
          <w:rFonts w:ascii="Cambria" w:hAnsi="Cambria"/>
        </w:rPr>
        <w:t xml:space="preserve"> e </w:t>
      </w:r>
      <w:proofErr w:type="spellStart"/>
      <w:r w:rsidRPr="00046A0C">
        <w:rPr>
          <w:rFonts w:ascii="Cambria" w:hAnsi="Cambria"/>
          <w:i/>
          <w:iCs/>
        </w:rPr>
        <w:t>Bacteroidetes</w:t>
      </w:r>
      <w:proofErr w:type="spellEnd"/>
      <w:r w:rsidRPr="00046A0C">
        <w:rPr>
          <w:rFonts w:ascii="Cambria" w:hAnsi="Cambria"/>
        </w:rPr>
        <w:t xml:space="preserve"> con un numero ridotto di commensali come </w:t>
      </w:r>
      <w:proofErr w:type="spellStart"/>
      <w:r w:rsidRPr="00046A0C">
        <w:rPr>
          <w:rFonts w:ascii="Cambria" w:hAnsi="Cambria"/>
          <w:i/>
          <w:iCs/>
        </w:rPr>
        <w:t>Faecalibacterium</w:t>
      </w:r>
      <w:proofErr w:type="spellEnd"/>
      <w:r w:rsidRPr="00046A0C">
        <w:rPr>
          <w:rFonts w:ascii="Cambria" w:hAnsi="Cambria"/>
          <w:i/>
          <w:iCs/>
        </w:rPr>
        <w:t xml:space="preserve">, </w:t>
      </w:r>
      <w:proofErr w:type="spellStart"/>
      <w:r w:rsidRPr="00046A0C">
        <w:rPr>
          <w:rFonts w:ascii="Cambria" w:hAnsi="Cambria"/>
          <w:i/>
          <w:iCs/>
        </w:rPr>
        <w:t>Blautia</w:t>
      </w:r>
      <w:proofErr w:type="spellEnd"/>
      <w:r w:rsidRPr="00046A0C">
        <w:rPr>
          <w:rFonts w:ascii="Cambria" w:hAnsi="Cambria"/>
          <w:i/>
          <w:iCs/>
        </w:rPr>
        <w:t xml:space="preserve"> </w:t>
      </w:r>
      <w:r w:rsidRPr="00046A0C">
        <w:rPr>
          <w:rFonts w:ascii="Cambria" w:hAnsi="Cambria"/>
        </w:rPr>
        <w:t>e</w:t>
      </w:r>
      <w:r w:rsidRPr="00046A0C">
        <w:rPr>
          <w:rFonts w:ascii="Cambria" w:hAnsi="Cambria"/>
          <w:i/>
          <w:iCs/>
        </w:rPr>
        <w:t xml:space="preserve"> </w:t>
      </w:r>
      <w:proofErr w:type="spellStart"/>
      <w:r w:rsidRPr="00046A0C">
        <w:rPr>
          <w:rFonts w:ascii="Cambria" w:hAnsi="Cambria"/>
          <w:i/>
          <w:iCs/>
        </w:rPr>
        <w:t>Ruminococcus</w:t>
      </w:r>
      <w:proofErr w:type="spellEnd"/>
      <w:r w:rsidRPr="00046A0C">
        <w:rPr>
          <w:rFonts w:ascii="Cambria" w:hAnsi="Cambria"/>
          <w:i/>
          <w:iCs/>
        </w:rPr>
        <w:t xml:space="preserve"> </w:t>
      </w:r>
      <w:r w:rsidRPr="00046A0C">
        <w:rPr>
          <w:rFonts w:ascii="Cambria" w:hAnsi="Cambria"/>
        </w:rPr>
        <w:t xml:space="preserve">spp., e una crescita eccessiva di agenti patogeni opportunistici come </w:t>
      </w:r>
      <w:proofErr w:type="spellStart"/>
      <w:r w:rsidRPr="00046A0C">
        <w:rPr>
          <w:rFonts w:ascii="Cambria" w:hAnsi="Cambria"/>
          <w:i/>
          <w:iCs/>
        </w:rPr>
        <w:t>Enterobacter</w:t>
      </w:r>
      <w:proofErr w:type="spellEnd"/>
      <w:r w:rsidRPr="00046A0C">
        <w:rPr>
          <w:rFonts w:ascii="Cambria" w:hAnsi="Cambria"/>
          <w:i/>
          <w:iCs/>
        </w:rPr>
        <w:t xml:space="preserve">, </w:t>
      </w:r>
      <w:proofErr w:type="spellStart"/>
      <w:r w:rsidRPr="00046A0C">
        <w:rPr>
          <w:rFonts w:ascii="Cambria" w:hAnsi="Cambria"/>
          <w:i/>
          <w:iCs/>
        </w:rPr>
        <w:t>Enterococcus</w:t>
      </w:r>
      <w:proofErr w:type="spellEnd"/>
      <w:r w:rsidRPr="00046A0C">
        <w:rPr>
          <w:rFonts w:ascii="Cambria" w:hAnsi="Cambria"/>
          <w:i/>
          <w:iCs/>
        </w:rPr>
        <w:t xml:space="preserve"> </w:t>
      </w:r>
      <w:r w:rsidRPr="00046A0C">
        <w:rPr>
          <w:rFonts w:ascii="Cambria" w:hAnsi="Cambria"/>
        </w:rPr>
        <w:t>e</w:t>
      </w:r>
      <w:r w:rsidRPr="00046A0C">
        <w:rPr>
          <w:rFonts w:ascii="Cambria" w:hAnsi="Cambria"/>
          <w:i/>
          <w:iCs/>
        </w:rPr>
        <w:t xml:space="preserve"> </w:t>
      </w:r>
      <w:proofErr w:type="spellStart"/>
      <w:r w:rsidRPr="00046A0C">
        <w:rPr>
          <w:rFonts w:ascii="Cambria" w:hAnsi="Cambria"/>
          <w:i/>
          <w:iCs/>
        </w:rPr>
        <w:t>Staphylococcus</w:t>
      </w:r>
      <w:proofErr w:type="spellEnd"/>
      <w:r w:rsidRPr="00046A0C">
        <w:rPr>
          <w:rFonts w:ascii="Cambria" w:hAnsi="Cambria"/>
        </w:rPr>
        <w:t xml:space="preserve">. </w:t>
      </w:r>
    </w:p>
    <w:p w14:paraId="435F766F" w14:textId="77777777" w:rsidR="007B1D91" w:rsidRPr="00046A0C" w:rsidRDefault="007B1D91" w:rsidP="007B1D91">
      <w:pPr>
        <w:rPr>
          <w:rFonts w:ascii="Cambria" w:hAnsi="Cambria"/>
        </w:rPr>
      </w:pPr>
    </w:p>
    <w:p w14:paraId="404F66AD" w14:textId="77777777" w:rsidR="007B1D91" w:rsidRPr="00046A0C" w:rsidRDefault="007B1D91" w:rsidP="007B1D91">
      <w:pPr>
        <w:rPr>
          <w:rFonts w:ascii="Cambria" w:hAnsi="Cambria"/>
          <w:b/>
          <w:bCs/>
        </w:rPr>
      </w:pPr>
      <w:r w:rsidRPr="00046A0C">
        <w:rPr>
          <w:rFonts w:ascii="Cambria" w:hAnsi="Cambria"/>
          <w:b/>
          <w:bCs/>
        </w:rPr>
        <w:t>Obiettivi del progetto</w:t>
      </w:r>
    </w:p>
    <w:p w14:paraId="4122D955" w14:textId="77777777" w:rsidR="007B1D91" w:rsidRPr="00046A0C" w:rsidRDefault="007B1D91" w:rsidP="007B1D91">
      <w:pPr>
        <w:rPr>
          <w:rFonts w:ascii="Cambria" w:hAnsi="Cambria"/>
        </w:rPr>
      </w:pPr>
      <w:r w:rsidRPr="00046A0C">
        <w:rPr>
          <w:rFonts w:ascii="Cambria" w:hAnsi="Cambria"/>
        </w:rPr>
        <w:t>Il progetto si pone come obiettivo principale la valutazione con finalità diagnostiche e prognostiche dei seguenti parametri nel cane con sepsi ricoverato in terapia intensiva:</w:t>
      </w:r>
    </w:p>
    <w:p w14:paraId="70F86D97" w14:textId="77777777" w:rsidR="007B1D91" w:rsidRPr="00046A0C" w:rsidRDefault="007B1D91" w:rsidP="007B1D91">
      <w:pPr>
        <w:rPr>
          <w:rFonts w:ascii="Cambria" w:hAnsi="Cambria"/>
        </w:rPr>
      </w:pPr>
      <w:r w:rsidRPr="00046A0C">
        <w:rPr>
          <w:rFonts w:ascii="Cambria" w:hAnsi="Cambria"/>
        </w:rPr>
        <w:t>1)</w:t>
      </w:r>
      <w:r w:rsidRPr="00046A0C">
        <w:rPr>
          <w:rFonts w:ascii="Cambria" w:hAnsi="Cambria"/>
        </w:rPr>
        <w:tab/>
        <w:t xml:space="preserve">Biomarker di </w:t>
      </w:r>
      <w:proofErr w:type="spellStart"/>
      <w:r w:rsidRPr="00046A0C">
        <w:rPr>
          <w:rFonts w:ascii="Cambria" w:hAnsi="Cambria"/>
        </w:rPr>
        <w:t>NETosi</w:t>
      </w:r>
      <w:proofErr w:type="spellEnd"/>
      <w:r w:rsidRPr="00046A0C">
        <w:rPr>
          <w:rFonts w:ascii="Cambria" w:hAnsi="Cambria"/>
        </w:rPr>
        <w:t xml:space="preserve"> (</w:t>
      </w:r>
      <w:proofErr w:type="spellStart"/>
      <w:r w:rsidRPr="00046A0C">
        <w:rPr>
          <w:rFonts w:ascii="Cambria" w:hAnsi="Cambria"/>
        </w:rPr>
        <w:t>cfDNA</w:t>
      </w:r>
      <w:proofErr w:type="spellEnd"/>
      <w:r w:rsidRPr="00046A0C">
        <w:rPr>
          <w:rFonts w:ascii="Cambria" w:hAnsi="Cambria"/>
        </w:rPr>
        <w:t>, nucleosomi);</w:t>
      </w:r>
    </w:p>
    <w:p w14:paraId="05912049" w14:textId="77777777" w:rsidR="007B1D91" w:rsidRPr="00046A0C" w:rsidRDefault="007B1D91" w:rsidP="007B1D91">
      <w:pPr>
        <w:ind w:left="708" w:hanging="708"/>
        <w:rPr>
          <w:rFonts w:ascii="Cambria" w:hAnsi="Cambria"/>
        </w:rPr>
      </w:pPr>
      <w:r w:rsidRPr="00046A0C">
        <w:rPr>
          <w:rFonts w:ascii="Cambria" w:hAnsi="Cambria"/>
        </w:rPr>
        <w:t>2)</w:t>
      </w:r>
      <w:r w:rsidRPr="00046A0C">
        <w:rPr>
          <w:rFonts w:ascii="Cambria" w:hAnsi="Cambria"/>
        </w:rPr>
        <w:tab/>
      </w:r>
      <w:proofErr w:type="spellStart"/>
      <w:r w:rsidRPr="00046A0C">
        <w:rPr>
          <w:rFonts w:ascii="Cambria" w:hAnsi="Cambria"/>
        </w:rPr>
        <w:t>Immunofenotipizzazione</w:t>
      </w:r>
      <w:proofErr w:type="spellEnd"/>
      <w:r w:rsidRPr="00046A0C">
        <w:rPr>
          <w:rFonts w:ascii="Cambria" w:hAnsi="Cambria"/>
        </w:rPr>
        <w:t xml:space="preserve"> tramite </w:t>
      </w:r>
      <w:proofErr w:type="spellStart"/>
      <w:r w:rsidRPr="00046A0C">
        <w:rPr>
          <w:rFonts w:ascii="Cambria" w:hAnsi="Cambria"/>
        </w:rPr>
        <w:t>citofluorimetria</w:t>
      </w:r>
      <w:proofErr w:type="spellEnd"/>
      <w:r w:rsidRPr="00046A0C">
        <w:rPr>
          <w:rFonts w:ascii="Cambria" w:hAnsi="Cambria"/>
        </w:rPr>
        <w:t xml:space="preserve"> di differenti sottotipi leucocitari con i seguenti anticorpi: CD45 FITC, CD5 ficoeritrina (PE), CD21 Alexa </w:t>
      </w:r>
      <w:proofErr w:type="spellStart"/>
      <w:r w:rsidRPr="00046A0C">
        <w:rPr>
          <w:rFonts w:ascii="Cambria" w:hAnsi="Cambria"/>
        </w:rPr>
        <w:t>Fluor</w:t>
      </w:r>
      <w:proofErr w:type="spellEnd"/>
      <w:r w:rsidRPr="00046A0C">
        <w:rPr>
          <w:rFonts w:ascii="Cambria" w:hAnsi="Cambria"/>
        </w:rPr>
        <w:t xml:space="preserve"> 647, CD3 FITC, CD4 Alexa </w:t>
      </w:r>
      <w:proofErr w:type="spellStart"/>
      <w:r w:rsidRPr="00046A0C">
        <w:rPr>
          <w:rFonts w:ascii="Cambria" w:hAnsi="Cambria"/>
        </w:rPr>
        <w:t>Fluor</w:t>
      </w:r>
      <w:proofErr w:type="spellEnd"/>
      <w:r w:rsidRPr="00046A0C">
        <w:rPr>
          <w:rFonts w:ascii="Cambria" w:hAnsi="Cambria"/>
        </w:rPr>
        <w:t xml:space="preserve"> 64, CD8 PE, CD11b PeCy5, MHCII FITC, CD14 PE;</w:t>
      </w:r>
    </w:p>
    <w:p w14:paraId="2B904FB0" w14:textId="77777777" w:rsidR="007B1D91" w:rsidRPr="00046A0C" w:rsidRDefault="007B1D91" w:rsidP="007B1D91">
      <w:pPr>
        <w:rPr>
          <w:rFonts w:ascii="Cambria" w:hAnsi="Cambria"/>
        </w:rPr>
      </w:pPr>
      <w:r w:rsidRPr="00046A0C">
        <w:rPr>
          <w:rFonts w:ascii="Cambria" w:hAnsi="Cambria"/>
        </w:rPr>
        <w:t>3)</w:t>
      </w:r>
      <w:r w:rsidRPr="00046A0C">
        <w:rPr>
          <w:rFonts w:ascii="Cambria" w:hAnsi="Cambria"/>
        </w:rPr>
        <w:tab/>
        <w:t>Isolamento e fenotipizzazione dei microrganismi patogeni coinvolti;</w:t>
      </w:r>
    </w:p>
    <w:p w14:paraId="5A4DCB22" w14:textId="77777777" w:rsidR="007B1D91" w:rsidRPr="00046A0C" w:rsidRDefault="007B1D91" w:rsidP="007B1D91">
      <w:pPr>
        <w:rPr>
          <w:rFonts w:ascii="Cambria" w:hAnsi="Cambria"/>
        </w:rPr>
      </w:pPr>
      <w:r w:rsidRPr="00046A0C">
        <w:rPr>
          <w:rFonts w:ascii="Cambria" w:hAnsi="Cambria"/>
        </w:rPr>
        <w:t>4)</w:t>
      </w:r>
      <w:r w:rsidRPr="00046A0C">
        <w:rPr>
          <w:rFonts w:ascii="Cambria" w:hAnsi="Cambria"/>
        </w:rPr>
        <w:tab/>
        <w:t xml:space="preserve">Indici di </w:t>
      </w:r>
      <w:proofErr w:type="spellStart"/>
      <w:r w:rsidRPr="00046A0C">
        <w:rPr>
          <w:rFonts w:ascii="Cambria" w:hAnsi="Cambria"/>
        </w:rPr>
        <w:t>disbiosi</w:t>
      </w:r>
      <w:proofErr w:type="spellEnd"/>
      <w:r w:rsidRPr="00046A0C">
        <w:rPr>
          <w:rFonts w:ascii="Cambria" w:hAnsi="Cambria"/>
        </w:rPr>
        <w:t xml:space="preserve"> intestinale</w:t>
      </w:r>
    </w:p>
    <w:p w14:paraId="7576BA07" w14:textId="77777777" w:rsidR="007B1D91" w:rsidRPr="00046A0C" w:rsidRDefault="007B1D91" w:rsidP="007B1D91">
      <w:pPr>
        <w:rPr>
          <w:rFonts w:ascii="Cambria" w:hAnsi="Cambria"/>
        </w:rPr>
      </w:pPr>
    </w:p>
    <w:p w14:paraId="538D5566" w14:textId="77777777" w:rsidR="007B1D91" w:rsidRPr="00046A0C" w:rsidRDefault="007B1D91" w:rsidP="007B1D91">
      <w:pPr>
        <w:rPr>
          <w:rFonts w:ascii="Cambria" w:hAnsi="Cambria"/>
        </w:rPr>
      </w:pPr>
    </w:p>
    <w:p w14:paraId="70120072" w14:textId="77777777" w:rsidR="007B1D91" w:rsidRPr="00046A0C" w:rsidRDefault="007B1D91" w:rsidP="007B1D91">
      <w:pPr>
        <w:rPr>
          <w:rFonts w:ascii="Cambria" w:hAnsi="Cambria"/>
          <w:b/>
          <w:bCs/>
        </w:rPr>
      </w:pPr>
      <w:r w:rsidRPr="00046A0C">
        <w:rPr>
          <w:rFonts w:ascii="Cambria" w:hAnsi="Cambria"/>
          <w:b/>
          <w:bCs/>
        </w:rPr>
        <w:t xml:space="preserve">Bibliografia </w:t>
      </w:r>
    </w:p>
    <w:p w14:paraId="7DA7FFCF" w14:textId="77777777" w:rsidR="007B1D91" w:rsidRPr="00046A0C" w:rsidRDefault="007B1D91" w:rsidP="007B1D91">
      <w:pPr>
        <w:pStyle w:val="Paragrafoelenco"/>
        <w:numPr>
          <w:ilvl w:val="0"/>
          <w:numId w:val="1"/>
        </w:numPr>
        <w:spacing w:after="160" w:line="259" w:lineRule="auto"/>
        <w:rPr>
          <w:rFonts w:ascii="Cambria" w:hAnsi="Cambria"/>
          <w:lang w:val="en-US"/>
        </w:rPr>
      </w:pPr>
      <w:r w:rsidRPr="009C2E3A">
        <w:rPr>
          <w:rFonts w:ascii="Cambria" w:hAnsi="Cambria"/>
        </w:rPr>
        <w:t>Santacroce E, D'</w:t>
      </w:r>
      <w:proofErr w:type="spellStart"/>
      <w:r w:rsidRPr="009C2E3A">
        <w:rPr>
          <w:rFonts w:ascii="Cambria" w:hAnsi="Cambria"/>
        </w:rPr>
        <w:t>Angerio</w:t>
      </w:r>
      <w:proofErr w:type="spellEnd"/>
      <w:r w:rsidRPr="009C2E3A">
        <w:rPr>
          <w:rFonts w:ascii="Cambria" w:hAnsi="Cambria"/>
        </w:rPr>
        <w:t xml:space="preserve"> M, Ciobanu AL, et al. </w:t>
      </w:r>
      <w:r w:rsidRPr="00046A0C">
        <w:rPr>
          <w:rFonts w:ascii="Cambria" w:hAnsi="Cambria"/>
          <w:lang w:val="en-US"/>
        </w:rPr>
        <w:t xml:space="preserve">Advances and Challenges in Sepsis Management: Modern Tools and Future Directions. Cells. 2024 Mar 2;13(5):439. </w:t>
      </w:r>
      <w:proofErr w:type="spellStart"/>
      <w:r w:rsidRPr="00046A0C">
        <w:rPr>
          <w:rFonts w:ascii="Cambria" w:hAnsi="Cambria"/>
          <w:lang w:val="en-US"/>
        </w:rPr>
        <w:t>doi</w:t>
      </w:r>
      <w:proofErr w:type="spellEnd"/>
      <w:r w:rsidRPr="00046A0C">
        <w:rPr>
          <w:rFonts w:ascii="Cambria" w:hAnsi="Cambria"/>
          <w:lang w:val="en-US"/>
        </w:rPr>
        <w:t xml:space="preserve">: 10.3390/cells13050439. </w:t>
      </w:r>
    </w:p>
    <w:p w14:paraId="310DA5B5" w14:textId="77777777" w:rsidR="007B1D91" w:rsidRPr="00046A0C" w:rsidRDefault="007B1D91" w:rsidP="007B1D91">
      <w:pPr>
        <w:pStyle w:val="Paragrafoelenco"/>
        <w:numPr>
          <w:ilvl w:val="0"/>
          <w:numId w:val="1"/>
        </w:numPr>
        <w:spacing w:after="160" w:line="259" w:lineRule="auto"/>
        <w:rPr>
          <w:rFonts w:ascii="Cambria" w:hAnsi="Cambria"/>
          <w:lang w:val="en-US"/>
        </w:rPr>
      </w:pPr>
      <w:proofErr w:type="spellStart"/>
      <w:r w:rsidRPr="00046A0C">
        <w:rPr>
          <w:rFonts w:ascii="Cambria" w:hAnsi="Cambria"/>
          <w:lang w:val="en-US"/>
        </w:rPr>
        <w:t>Haak</w:t>
      </w:r>
      <w:proofErr w:type="spellEnd"/>
      <w:r w:rsidRPr="00046A0C">
        <w:rPr>
          <w:rFonts w:ascii="Cambria" w:hAnsi="Cambria"/>
          <w:lang w:val="en-US"/>
        </w:rPr>
        <w:t xml:space="preserve"> BW, </w:t>
      </w:r>
      <w:proofErr w:type="spellStart"/>
      <w:r w:rsidRPr="00046A0C">
        <w:rPr>
          <w:rFonts w:ascii="Cambria" w:hAnsi="Cambria"/>
          <w:lang w:val="en-US"/>
        </w:rPr>
        <w:t>Wiersinga</w:t>
      </w:r>
      <w:proofErr w:type="spellEnd"/>
      <w:r w:rsidRPr="00046A0C">
        <w:rPr>
          <w:rFonts w:ascii="Cambria" w:hAnsi="Cambria"/>
          <w:lang w:val="en-US"/>
        </w:rPr>
        <w:t xml:space="preserve"> WJ. The role of the gut microbiota in sepsis. Lancet Gastroenterol Hepatol. 2017 Feb;2(2):135-143. </w:t>
      </w:r>
      <w:proofErr w:type="spellStart"/>
      <w:r w:rsidRPr="00046A0C">
        <w:rPr>
          <w:rFonts w:ascii="Cambria" w:hAnsi="Cambria"/>
          <w:lang w:val="en-US"/>
        </w:rPr>
        <w:t>doi</w:t>
      </w:r>
      <w:proofErr w:type="spellEnd"/>
      <w:r w:rsidRPr="00046A0C">
        <w:rPr>
          <w:rFonts w:ascii="Cambria" w:hAnsi="Cambria"/>
          <w:lang w:val="en-US"/>
        </w:rPr>
        <w:t xml:space="preserve">: 10.1016/S2468-1253(16)30119-4. </w:t>
      </w:r>
      <w:proofErr w:type="spellStart"/>
      <w:r w:rsidRPr="00046A0C">
        <w:rPr>
          <w:rFonts w:ascii="Cambria" w:hAnsi="Cambria"/>
          <w:lang w:val="en-US"/>
        </w:rPr>
        <w:t>Epub</w:t>
      </w:r>
      <w:proofErr w:type="spellEnd"/>
      <w:r w:rsidRPr="00046A0C">
        <w:rPr>
          <w:rFonts w:ascii="Cambria" w:hAnsi="Cambria"/>
          <w:lang w:val="en-US"/>
        </w:rPr>
        <w:t xml:space="preserve"> 2017 Jan 12. PMID: 28403983.</w:t>
      </w:r>
    </w:p>
    <w:p w14:paraId="739ACDD1" w14:textId="77777777" w:rsidR="007B1D91" w:rsidRPr="00046A0C" w:rsidRDefault="007B1D91" w:rsidP="007B1D91">
      <w:pPr>
        <w:pStyle w:val="Paragrafoelenco"/>
        <w:numPr>
          <w:ilvl w:val="0"/>
          <w:numId w:val="1"/>
        </w:numPr>
        <w:spacing w:after="160" w:line="259" w:lineRule="auto"/>
        <w:rPr>
          <w:rFonts w:ascii="Cambria" w:hAnsi="Cambria"/>
        </w:rPr>
      </w:pPr>
      <w:proofErr w:type="spellStart"/>
      <w:r w:rsidRPr="009C2E3A">
        <w:rPr>
          <w:rFonts w:ascii="Cambria" w:hAnsi="Cambria"/>
          <w:lang w:val="en-US"/>
        </w:rPr>
        <w:t>Letendre</w:t>
      </w:r>
      <w:proofErr w:type="spellEnd"/>
      <w:r w:rsidRPr="009C2E3A">
        <w:rPr>
          <w:rFonts w:ascii="Cambria" w:hAnsi="Cambria"/>
          <w:lang w:val="en-US"/>
        </w:rPr>
        <w:t xml:space="preserve"> JA, Goggs R. Determining prognosis in canine sepsis by bedside measurement of cell-free DNA and nucleosomes. </w:t>
      </w:r>
      <w:r w:rsidRPr="00046A0C">
        <w:rPr>
          <w:rFonts w:ascii="Cambria" w:hAnsi="Cambria"/>
        </w:rPr>
        <w:t xml:space="preserve">J Vet </w:t>
      </w:r>
      <w:proofErr w:type="spellStart"/>
      <w:r w:rsidRPr="00046A0C">
        <w:rPr>
          <w:rFonts w:ascii="Cambria" w:hAnsi="Cambria"/>
        </w:rPr>
        <w:t>Emerg</w:t>
      </w:r>
      <w:proofErr w:type="spellEnd"/>
      <w:r w:rsidRPr="00046A0C">
        <w:rPr>
          <w:rFonts w:ascii="Cambria" w:hAnsi="Cambria"/>
        </w:rPr>
        <w:t xml:space="preserve"> </w:t>
      </w:r>
      <w:proofErr w:type="spellStart"/>
      <w:r w:rsidRPr="00046A0C">
        <w:rPr>
          <w:rFonts w:ascii="Cambria" w:hAnsi="Cambria"/>
        </w:rPr>
        <w:t>Crit</w:t>
      </w:r>
      <w:proofErr w:type="spellEnd"/>
      <w:r w:rsidRPr="00046A0C">
        <w:rPr>
          <w:rFonts w:ascii="Cambria" w:hAnsi="Cambria"/>
        </w:rPr>
        <w:t xml:space="preserve"> Care (San Antonio). 2018 Nov;28(6):503-511. </w:t>
      </w:r>
      <w:proofErr w:type="spellStart"/>
      <w:r w:rsidRPr="00046A0C">
        <w:rPr>
          <w:rFonts w:ascii="Cambria" w:hAnsi="Cambria"/>
        </w:rPr>
        <w:t>doi</w:t>
      </w:r>
      <w:proofErr w:type="spellEnd"/>
      <w:r w:rsidRPr="00046A0C">
        <w:rPr>
          <w:rFonts w:ascii="Cambria" w:hAnsi="Cambria"/>
        </w:rPr>
        <w:t xml:space="preserve">: 10.1111/vec.12773. </w:t>
      </w:r>
      <w:proofErr w:type="spellStart"/>
      <w:r w:rsidRPr="00046A0C">
        <w:rPr>
          <w:rFonts w:ascii="Cambria" w:hAnsi="Cambria"/>
        </w:rPr>
        <w:t>Epub</w:t>
      </w:r>
      <w:proofErr w:type="spellEnd"/>
      <w:r w:rsidRPr="00046A0C">
        <w:rPr>
          <w:rFonts w:ascii="Cambria" w:hAnsi="Cambria"/>
        </w:rPr>
        <w:t xml:space="preserve"> 2018 </w:t>
      </w:r>
      <w:proofErr w:type="spellStart"/>
      <w:r w:rsidRPr="00046A0C">
        <w:rPr>
          <w:rFonts w:ascii="Cambria" w:hAnsi="Cambria"/>
        </w:rPr>
        <w:t>Oct</w:t>
      </w:r>
      <w:proofErr w:type="spellEnd"/>
      <w:r w:rsidRPr="00046A0C">
        <w:rPr>
          <w:rFonts w:ascii="Cambria" w:hAnsi="Cambria"/>
        </w:rPr>
        <w:t xml:space="preserve"> 9. </w:t>
      </w:r>
    </w:p>
    <w:p w14:paraId="14D6CC8E" w14:textId="77777777" w:rsidR="007B1D91" w:rsidRPr="00046A0C" w:rsidRDefault="007B1D91" w:rsidP="007B1D91">
      <w:pPr>
        <w:pStyle w:val="Paragrafoelenco"/>
        <w:numPr>
          <w:ilvl w:val="0"/>
          <w:numId w:val="1"/>
        </w:numPr>
        <w:spacing w:after="160" w:line="259" w:lineRule="auto"/>
        <w:rPr>
          <w:rFonts w:ascii="Cambria" w:hAnsi="Cambria"/>
        </w:rPr>
      </w:pPr>
      <w:r w:rsidRPr="009C2E3A">
        <w:rPr>
          <w:rFonts w:ascii="Cambria" w:hAnsi="Cambria"/>
          <w:lang w:val="en-US"/>
        </w:rPr>
        <w:t xml:space="preserve">Hoffman D, Amorim J, DeClue A. Immune Function in Critically Ill Dogs. </w:t>
      </w:r>
      <w:r w:rsidRPr="00046A0C">
        <w:rPr>
          <w:rFonts w:ascii="Cambria" w:hAnsi="Cambria"/>
        </w:rPr>
        <w:t xml:space="preserve">J Vet </w:t>
      </w:r>
      <w:proofErr w:type="spellStart"/>
      <w:r w:rsidRPr="00046A0C">
        <w:rPr>
          <w:rFonts w:ascii="Cambria" w:hAnsi="Cambria"/>
        </w:rPr>
        <w:t>Intern</w:t>
      </w:r>
      <w:proofErr w:type="spellEnd"/>
      <w:r w:rsidRPr="00046A0C">
        <w:rPr>
          <w:rFonts w:ascii="Cambria" w:hAnsi="Cambria"/>
        </w:rPr>
        <w:t xml:space="preserve"> </w:t>
      </w:r>
      <w:proofErr w:type="spellStart"/>
      <w:r w:rsidRPr="00046A0C">
        <w:rPr>
          <w:rFonts w:ascii="Cambria" w:hAnsi="Cambria"/>
        </w:rPr>
        <w:t>Med</w:t>
      </w:r>
      <w:proofErr w:type="spellEnd"/>
      <w:r w:rsidRPr="00046A0C">
        <w:rPr>
          <w:rFonts w:ascii="Cambria" w:hAnsi="Cambria"/>
        </w:rPr>
        <w:t xml:space="preserve">. 2018 Jan;32(1):208-216. </w:t>
      </w:r>
      <w:proofErr w:type="spellStart"/>
      <w:r w:rsidRPr="00046A0C">
        <w:rPr>
          <w:rFonts w:ascii="Cambria" w:hAnsi="Cambria"/>
        </w:rPr>
        <w:t>doi</w:t>
      </w:r>
      <w:proofErr w:type="spellEnd"/>
      <w:r w:rsidRPr="00046A0C">
        <w:rPr>
          <w:rFonts w:ascii="Cambria" w:hAnsi="Cambria"/>
        </w:rPr>
        <w:t xml:space="preserve">: 10.1111/jvim.14857. </w:t>
      </w:r>
      <w:proofErr w:type="spellStart"/>
      <w:r w:rsidRPr="00046A0C">
        <w:rPr>
          <w:rFonts w:ascii="Cambria" w:hAnsi="Cambria"/>
        </w:rPr>
        <w:t>Epub</w:t>
      </w:r>
      <w:proofErr w:type="spellEnd"/>
      <w:r w:rsidRPr="00046A0C">
        <w:rPr>
          <w:rFonts w:ascii="Cambria" w:hAnsi="Cambria"/>
        </w:rPr>
        <w:t xml:space="preserve"> 2017 </w:t>
      </w:r>
      <w:proofErr w:type="spellStart"/>
      <w:r w:rsidRPr="00046A0C">
        <w:rPr>
          <w:rFonts w:ascii="Cambria" w:hAnsi="Cambria"/>
        </w:rPr>
        <w:t>Nov</w:t>
      </w:r>
      <w:proofErr w:type="spellEnd"/>
      <w:r w:rsidRPr="00046A0C">
        <w:rPr>
          <w:rFonts w:ascii="Cambria" w:hAnsi="Cambria"/>
        </w:rPr>
        <w:t xml:space="preserve"> 13. </w:t>
      </w:r>
    </w:p>
    <w:p w14:paraId="0F72205B" w14:textId="77777777" w:rsidR="007B1D91" w:rsidRPr="00046A0C" w:rsidRDefault="007B1D91" w:rsidP="007B1D91">
      <w:pPr>
        <w:pStyle w:val="Paragrafoelenco"/>
        <w:numPr>
          <w:ilvl w:val="0"/>
          <w:numId w:val="1"/>
        </w:numPr>
        <w:spacing w:after="160" w:line="259" w:lineRule="auto"/>
        <w:rPr>
          <w:rFonts w:ascii="Cambria" w:hAnsi="Cambria"/>
        </w:rPr>
      </w:pPr>
      <w:proofErr w:type="spellStart"/>
      <w:r w:rsidRPr="00046A0C">
        <w:rPr>
          <w:rFonts w:ascii="Cambria" w:hAnsi="Cambria"/>
        </w:rPr>
        <w:t>du</w:t>
      </w:r>
      <w:proofErr w:type="spellEnd"/>
      <w:r w:rsidRPr="00046A0C">
        <w:rPr>
          <w:rFonts w:ascii="Cambria" w:hAnsi="Cambria"/>
        </w:rPr>
        <w:t xml:space="preserve"> </w:t>
      </w:r>
      <w:proofErr w:type="spellStart"/>
      <w:r w:rsidRPr="00046A0C">
        <w:rPr>
          <w:rFonts w:ascii="Cambria" w:hAnsi="Cambria"/>
        </w:rPr>
        <w:t>Preez</w:t>
      </w:r>
      <w:proofErr w:type="spellEnd"/>
      <w:r w:rsidRPr="00046A0C">
        <w:rPr>
          <w:rFonts w:ascii="Cambria" w:hAnsi="Cambria"/>
        </w:rPr>
        <w:t xml:space="preserve"> K, </w:t>
      </w:r>
      <w:proofErr w:type="spellStart"/>
      <w:r w:rsidRPr="00046A0C">
        <w:rPr>
          <w:rFonts w:ascii="Cambria" w:hAnsi="Cambria"/>
        </w:rPr>
        <w:t>Rautenbach</w:t>
      </w:r>
      <w:proofErr w:type="spellEnd"/>
      <w:r w:rsidRPr="00046A0C">
        <w:rPr>
          <w:rFonts w:ascii="Cambria" w:hAnsi="Cambria"/>
        </w:rPr>
        <w:t xml:space="preserve"> Y, </w:t>
      </w:r>
      <w:proofErr w:type="spellStart"/>
      <w:r w:rsidRPr="00046A0C">
        <w:rPr>
          <w:rFonts w:ascii="Cambria" w:hAnsi="Cambria"/>
        </w:rPr>
        <w:t>Hooijberg</w:t>
      </w:r>
      <w:proofErr w:type="spellEnd"/>
      <w:r w:rsidRPr="00046A0C">
        <w:rPr>
          <w:rFonts w:ascii="Cambria" w:hAnsi="Cambria"/>
        </w:rPr>
        <w:t xml:space="preserve"> EH, et al. </w:t>
      </w:r>
      <w:r w:rsidRPr="009C2E3A">
        <w:rPr>
          <w:rFonts w:ascii="Cambria" w:hAnsi="Cambria"/>
          <w:lang w:val="en-US"/>
        </w:rPr>
        <w:t xml:space="preserve">Oxidative burst and phagocytic activity of phagocytes in canine parvoviral enteritis. </w:t>
      </w:r>
      <w:r w:rsidRPr="00046A0C">
        <w:rPr>
          <w:rFonts w:ascii="Cambria" w:hAnsi="Cambria"/>
        </w:rPr>
        <w:t xml:space="preserve">J Vet </w:t>
      </w:r>
      <w:proofErr w:type="spellStart"/>
      <w:r w:rsidRPr="00046A0C">
        <w:rPr>
          <w:rFonts w:ascii="Cambria" w:hAnsi="Cambria"/>
        </w:rPr>
        <w:t>Diagn</w:t>
      </w:r>
      <w:proofErr w:type="spellEnd"/>
      <w:r w:rsidRPr="00046A0C">
        <w:rPr>
          <w:rFonts w:ascii="Cambria" w:hAnsi="Cambria"/>
        </w:rPr>
        <w:t xml:space="preserve"> Invest. 2021 Sep;33(5):884-893. </w:t>
      </w:r>
      <w:proofErr w:type="spellStart"/>
      <w:r w:rsidRPr="00046A0C">
        <w:rPr>
          <w:rFonts w:ascii="Cambria" w:hAnsi="Cambria"/>
        </w:rPr>
        <w:t>doi</w:t>
      </w:r>
      <w:proofErr w:type="spellEnd"/>
      <w:r w:rsidRPr="00046A0C">
        <w:rPr>
          <w:rFonts w:ascii="Cambria" w:hAnsi="Cambria"/>
        </w:rPr>
        <w:t xml:space="preserve">: 10.1177/10406387211025513. </w:t>
      </w:r>
      <w:proofErr w:type="spellStart"/>
      <w:r w:rsidRPr="00046A0C">
        <w:rPr>
          <w:rFonts w:ascii="Cambria" w:hAnsi="Cambria"/>
        </w:rPr>
        <w:t>Epub</w:t>
      </w:r>
      <w:proofErr w:type="spellEnd"/>
      <w:r w:rsidRPr="00046A0C">
        <w:rPr>
          <w:rFonts w:ascii="Cambria" w:hAnsi="Cambria"/>
        </w:rPr>
        <w:t xml:space="preserve"> 2021 </w:t>
      </w:r>
      <w:proofErr w:type="spellStart"/>
      <w:r w:rsidRPr="00046A0C">
        <w:rPr>
          <w:rFonts w:ascii="Cambria" w:hAnsi="Cambria"/>
        </w:rPr>
        <w:t>Jun</w:t>
      </w:r>
      <w:proofErr w:type="spellEnd"/>
      <w:r w:rsidRPr="00046A0C">
        <w:rPr>
          <w:rFonts w:ascii="Cambria" w:hAnsi="Cambria"/>
        </w:rPr>
        <w:t xml:space="preserve"> 19. </w:t>
      </w:r>
    </w:p>
    <w:p w14:paraId="28500273" w14:textId="77777777" w:rsidR="007B1D91" w:rsidRPr="00046A0C" w:rsidRDefault="007B1D91" w:rsidP="007B1D91">
      <w:pPr>
        <w:pStyle w:val="Paragrafoelenco"/>
        <w:numPr>
          <w:ilvl w:val="0"/>
          <w:numId w:val="1"/>
        </w:numPr>
        <w:spacing w:after="160" w:line="259" w:lineRule="auto"/>
        <w:rPr>
          <w:rFonts w:ascii="Cambria" w:hAnsi="Cambria"/>
        </w:rPr>
      </w:pPr>
      <w:r w:rsidRPr="00046A0C">
        <w:rPr>
          <w:rFonts w:ascii="Cambria" w:hAnsi="Cambria"/>
        </w:rPr>
        <w:t xml:space="preserve">Vecchiato CG, Golinelli S, Pinna C, et al. </w:t>
      </w:r>
      <w:r w:rsidRPr="009C2E3A">
        <w:rPr>
          <w:rFonts w:ascii="Cambria" w:hAnsi="Cambria"/>
          <w:lang w:val="en-US"/>
        </w:rPr>
        <w:t xml:space="preserve">Fecal microbiota and inflammatory and antioxidant status of obese and lean dogs, and the effect of caloric restriction. </w:t>
      </w:r>
      <w:r w:rsidRPr="00046A0C">
        <w:rPr>
          <w:rFonts w:ascii="Cambria" w:hAnsi="Cambria"/>
        </w:rPr>
        <w:t xml:space="preserve">Front </w:t>
      </w:r>
      <w:proofErr w:type="spellStart"/>
      <w:r w:rsidRPr="00046A0C">
        <w:rPr>
          <w:rFonts w:ascii="Cambria" w:hAnsi="Cambria"/>
        </w:rPr>
        <w:t>Microbiol</w:t>
      </w:r>
      <w:proofErr w:type="spellEnd"/>
      <w:r w:rsidRPr="00046A0C">
        <w:rPr>
          <w:rFonts w:ascii="Cambria" w:hAnsi="Cambria"/>
        </w:rPr>
        <w:t xml:space="preserve">. 2023 </w:t>
      </w:r>
      <w:proofErr w:type="spellStart"/>
      <w:r w:rsidRPr="00046A0C">
        <w:rPr>
          <w:rFonts w:ascii="Cambria" w:hAnsi="Cambria"/>
        </w:rPr>
        <w:t>Jan</w:t>
      </w:r>
      <w:proofErr w:type="spellEnd"/>
      <w:r w:rsidRPr="00046A0C">
        <w:rPr>
          <w:rFonts w:ascii="Cambria" w:hAnsi="Cambria"/>
        </w:rPr>
        <w:t xml:space="preserve"> </w:t>
      </w:r>
      <w:proofErr w:type="gramStart"/>
      <w:r w:rsidRPr="00046A0C">
        <w:rPr>
          <w:rFonts w:ascii="Cambria" w:hAnsi="Cambria"/>
        </w:rPr>
        <w:t>12;13:1050474</w:t>
      </w:r>
      <w:proofErr w:type="gramEnd"/>
      <w:r w:rsidRPr="00046A0C">
        <w:rPr>
          <w:rFonts w:ascii="Cambria" w:hAnsi="Cambria"/>
        </w:rPr>
        <w:t xml:space="preserve">. </w:t>
      </w:r>
      <w:proofErr w:type="spellStart"/>
      <w:r w:rsidRPr="00046A0C">
        <w:rPr>
          <w:rFonts w:ascii="Cambria" w:hAnsi="Cambria"/>
        </w:rPr>
        <w:t>doi</w:t>
      </w:r>
      <w:proofErr w:type="spellEnd"/>
      <w:r w:rsidRPr="00046A0C">
        <w:rPr>
          <w:rFonts w:ascii="Cambria" w:hAnsi="Cambria"/>
        </w:rPr>
        <w:t xml:space="preserve">: 10.3389/fmicb.2022.1050474. </w:t>
      </w:r>
    </w:p>
    <w:p w14:paraId="18042D16" w14:textId="09F3E408" w:rsidR="002F6854" w:rsidRDefault="007B1D91" w:rsidP="005A74DC">
      <w:pPr>
        <w:pStyle w:val="Paragrafoelenco"/>
        <w:numPr>
          <w:ilvl w:val="0"/>
          <w:numId w:val="1"/>
        </w:numPr>
        <w:spacing w:after="160" w:line="259" w:lineRule="auto"/>
      </w:pPr>
      <w:r w:rsidRPr="005A74DC">
        <w:rPr>
          <w:rFonts w:ascii="Cambria" w:hAnsi="Cambria"/>
        </w:rPr>
        <w:t xml:space="preserve">Cocca G, Piva S, Magno SD, Scarpellini R, et al. </w:t>
      </w:r>
      <w:r w:rsidRPr="005A74DC">
        <w:rPr>
          <w:rFonts w:ascii="Cambria" w:hAnsi="Cambria"/>
          <w:lang w:val="en-US"/>
        </w:rPr>
        <w:t xml:space="preserve">Prevalence and Patterns of Antimicrobial Resistance among Escherichia coli and Staphylococcus spp. in a Veterinary University Hospital. </w:t>
      </w:r>
      <w:r w:rsidRPr="005A74DC">
        <w:rPr>
          <w:rFonts w:ascii="Cambria" w:hAnsi="Cambria"/>
        </w:rPr>
        <w:t xml:space="preserve">Vet Sci. 2021 </w:t>
      </w:r>
      <w:proofErr w:type="spellStart"/>
      <w:r w:rsidRPr="005A74DC">
        <w:rPr>
          <w:rFonts w:ascii="Cambria" w:hAnsi="Cambria"/>
        </w:rPr>
        <w:t>Dec</w:t>
      </w:r>
      <w:proofErr w:type="spellEnd"/>
      <w:r w:rsidRPr="005A74DC">
        <w:rPr>
          <w:rFonts w:ascii="Cambria" w:hAnsi="Cambria"/>
        </w:rPr>
        <w:t xml:space="preserve"> 6;8(12):308. </w:t>
      </w:r>
      <w:proofErr w:type="spellStart"/>
      <w:r w:rsidRPr="005A74DC">
        <w:rPr>
          <w:rFonts w:ascii="Cambria" w:hAnsi="Cambria"/>
        </w:rPr>
        <w:t>doi</w:t>
      </w:r>
      <w:proofErr w:type="spellEnd"/>
      <w:r w:rsidRPr="005A74DC">
        <w:rPr>
          <w:rFonts w:ascii="Cambria" w:hAnsi="Cambria"/>
        </w:rPr>
        <w:t>: 10.3390/vetsci8120308.</w:t>
      </w:r>
    </w:p>
    <w:sectPr w:rsidR="002F6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63EE"/>
    <w:multiLevelType w:val="hybridMultilevel"/>
    <w:tmpl w:val="FA6E0E46"/>
    <w:lvl w:ilvl="0" w:tplc="57A26E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E5853"/>
    <w:multiLevelType w:val="hybridMultilevel"/>
    <w:tmpl w:val="5986D752"/>
    <w:lvl w:ilvl="0" w:tplc="EAD0B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5CFF"/>
    <w:multiLevelType w:val="hybridMultilevel"/>
    <w:tmpl w:val="40E60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D49"/>
    <w:multiLevelType w:val="hybridMultilevel"/>
    <w:tmpl w:val="5E8486E2"/>
    <w:lvl w:ilvl="0" w:tplc="57A26E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1F"/>
    <w:rsid w:val="0012009B"/>
    <w:rsid w:val="002F6854"/>
    <w:rsid w:val="003C2702"/>
    <w:rsid w:val="0040104C"/>
    <w:rsid w:val="0041541F"/>
    <w:rsid w:val="005A74DC"/>
    <w:rsid w:val="006B3137"/>
    <w:rsid w:val="007B1D91"/>
    <w:rsid w:val="007D5689"/>
    <w:rsid w:val="00883D80"/>
    <w:rsid w:val="00C6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2ECB"/>
  <w15:chartTrackingRefBased/>
  <w15:docId w15:val="{026B9EA8-40DD-48DE-B7D7-C3A192DB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D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54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4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5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41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41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4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4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4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4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54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54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541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5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541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541F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59"/>
    <w:rsid w:val="007B1D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5795</Characters>
  <Application>Microsoft Office Word</Application>
  <DocSecurity>0</DocSecurity>
  <Lines>48</Lines>
  <Paragraphs>13</Paragraphs>
  <ScaleCrop>false</ScaleCrop>
  <Company>DIMEVET - UNIBO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Giunti</dc:creator>
  <cp:keywords/>
  <dc:description/>
  <cp:lastModifiedBy>Massimo Giunti</cp:lastModifiedBy>
  <cp:revision>2</cp:revision>
  <dcterms:created xsi:type="dcterms:W3CDTF">2025-10-31T14:01:00Z</dcterms:created>
  <dcterms:modified xsi:type="dcterms:W3CDTF">2025-10-31T14:01:00Z</dcterms:modified>
</cp:coreProperties>
</file>